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Государственный контроль таможенными органами в пунктах пропуска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CD4D54" w:rsidRDefault="00CD4D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921F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FF7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921F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FF7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CD4D54" w:rsidRDefault="00CD4D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E408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3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3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4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8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8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8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8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9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10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11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13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13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15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17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17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18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D75436" w:rsidRDefault="00B141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E408D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E408DF">
              <w:rPr>
                <w:noProof/>
                <w:webHidden/>
              </w:rPr>
            </w:r>
            <w:r w:rsidR="00E408DF">
              <w:rPr>
                <w:noProof/>
                <w:webHidden/>
              </w:rPr>
              <w:fldChar w:fldCharType="separate"/>
            </w:r>
            <w:r w:rsidR="00921FF7">
              <w:rPr>
                <w:noProof/>
                <w:webHidden/>
              </w:rPr>
              <w:t>18</w:t>
            </w:r>
            <w:r w:rsidR="00E408DF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E408DF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0"/>
    </w:p>
    <w:p w:rsidR="00921FF7" w:rsidRPr="00921FF7" w:rsidRDefault="00921FF7" w:rsidP="00921FF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921F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умений и навыков в области проведения отдельных видов государственного контроля, обязанность по проведению которых возложена на таможенные органы.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921FF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Государственный контроль таможенными органами в пунктах пропуска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291"/>
        <w:gridCol w:w="5501"/>
      </w:tblGrid>
      <w:tr w:rsidR="00751095" w:rsidRPr="00921FF7" w:rsidTr="00921FF7">
        <w:trPr>
          <w:trHeight w:val="848"/>
          <w:tblHeader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21F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21F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921F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1F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921F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1FF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921F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21FF7" w:rsidTr="00921FF7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21F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21F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1FF7">
              <w:rPr>
                <w:rFonts w:ascii="Times New Roman" w:hAnsi="Times New Roman" w:cs="Times New Roman"/>
                <w:lang w:bidi="ru-RU"/>
              </w:rPr>
              <w:t>ПК-4.5 - Проводит отдельные виды государственного контроля, отнесённые к компетенции таможенных органов, совершает таможенные операции и демонстрирует особенности применения таможенной процедуры таможенного транзита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21F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1FF7">
              <w:rPr>
                <w:rFonts w:ascii="Times New Roman" w:hAnsi="Times New Roman" w:cs="Times New Roman"/>
              </w:rPr>
              <w:t>нормативно-правовую базу, регламентирующую проведение документального, весового и инструментального транспортного контроля таможенными органами в пунктах пропуска через государственную границу Российской Федерации; нормативно-правовую базу, регламентирующую проведение и технологию проведения документального государственного ветеринарного, карантинного фитосанитарного и санитарно-карантинного надзора таможенными органами в пунктах пропуска через государственную границу Российской Федерации.</w:t>
            </w:r>
            <w:r w:rsidRPr="00921FF7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921F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1FF7">
              <w:rPr>
                <w:rFonts w:ascii="Times New Roman" w:hAnsi="Times New Roman" w:cs="Times New Roman"/>
              </w:rPr>
              <w:t>проводить все виды документального государственного контроля, обязанность по проведению которых в пунктах пропуска через государственную границу Российской Федерации возложена на таможенные органы; осуществлять контроль соблюдения порядка осуществления международных автомобильных перевозок в пунктах пропуска через государственную границу Российской Федерации</w:t>
            </w:r>
            <w:r w:rsidRPr="00921FF7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921F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1F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1FF7">
              <w:rPr>
                <w:rFonts w:ascii="Times New Roman" w:hAnsi="Times New Roman" w:cs="Times New Roman"/>
              </w:rPr>
              <w:t>навыками проведения весового, габаритного и иного инструментального контроля в пунктах пропуска через государственную границу Российской Федерации</w:t>
            </w:r>
            <w:r w:rsidRPr="00921FF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21FF7" w:rsidTr="00921FF7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21F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</w:rPr>
              <w:t xml:space="preserve">ПК-11 - Способен применять систему управления рисками в профессиональной </w:t>
            </w:r>
            <w:r w:rsidRPr="00921FF7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21F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1FF7">
              <w:rPr>
                <w:rFonts w:ascii="Times New Roman" w:hAnsi="Times New Roman" w:cs="Times New Roman"/>
                <w:lang w:bidi="ru-RU"/>
              </w:rPr>
              <w:lastRenderedPageBreak/>
              <w:t xml:space="preserve">ПК-11.2 - Применяет систему управления рисками при проведении </w:t>
            </w:r>
            <w:r w:rsidRPr="00921FF7">
              <w:rPr>
                <w:rFonts w:ascii="Times New Roman" w:hAnsi="Times New Roman" w:cs="Times New Roman"/>
                <w:lang w:bidi="ru-RU"/>
              </w:rPr>
              <w:lastRenderedPageBreak/>
              <w:t>отдельных видов государственного контроля, отнесённых к компетенции таможенных органов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21F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921FF7">
              <w:rPr>
                <w:rFonts w:ascii="Times New Roman" w:hAnsi="Times New Roman" w:cs="Times New Roman"/>
              </w:rPr>
              <w:t xml:space="preserve">нормативно-правовую базу, регламентирующую взаимодействие в пунктах пропуска через таможенную границу таможенных органов и других государственных контрольных органов, в рамках </w:t>
            </w:r>
            <w:r w:rsidR="00316402" w:rsidRPr="00921FF7">
              <w:rPr>
                <w:rFonts w:ascii="Times New Roman" w:hAnsi="Times New Roman" w:cs="Times New Roman"/>
              </w:rPr>
              <w:lastRenderedPageBreak/>
              <w:t>системы управления рисками.</w:t>
            </w:r>
            <w:r w:rsidRPr="00921FF7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921F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1FF7">
              <w:rPr>
                <w:rFonts w:ascii="Times New Roman" w:hAnsi="Times New Roman" w:cs="Times New Roman"/>
              </w:rPr>
              <w:t>оформлять результаты проведения государственного контроля в пунктах пропуска</w:t>
            </w:r>
            <w:r w:rsidRPr="00921FF7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921F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1F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1FF7">
              <w:rPr>
                <w:rFonts w:ascii="Times New Roman" w:hAnsi="Times New Roman" w:cs="Times New Roman"/>
              </w:rPr>
              <w:t>навыками выбора объекта контроля в пунктах пропуска на основании системы управления рисками</w:t>
            </w:r>
            <w:r w:rsidRPr="00921FF7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921F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 проведении пограничного контроля в пунктах пропуска через государственную границу РФ Пограничной службой ФСБ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пограничного контроля. Основные нормативно – правовые акты, регламентирующие проведение пограничного контроля в пунктах пропуска через государственную границу РФ пограничной службой ФСБ России. Состав операций пограничного контроля в пунктах пропуска. Результаты пограничного контроля. Основания для отказа в пропуске через государственную границу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транспортного контроля таможенными органами в пунктах пропуска через государственную границу РФ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нормативно-правовых актов, регламентирующих проведение отдельных видов государственного контроля таможенными органами Российской Федерации. Действия должностных лиц таможенных органов при проведении транспортного контроля: контроль весовых и габаритных параметров транспортного средства, контроль грузового транспортного средства, особенности контроля транспортных средств, перевозящих опасные, негабаритные и тяжеловесные грузы, контроль карточки допуска к международным перевозкам, контроль автобуса. Транспортных контроль транспортных средств, зарегистрированных на территории других государств. Принятие решения о пропуске или запрете въезда транспортного средства. Результаты проведения транспортного контроля. Нормативно – правовые акты, устанавливающие экологические требования к подвижному составу.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Информационные системы,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применяемые при осуществлении транспортного контроля таможенными органами в пунктах пропуска через государственную границу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Информационный комплекс СКАТ-ТК: схема функциональной структуры программного комплекса. Возможности программы. </w:t>
            </w:r>
            <w:r w:rsidRPr="00352B6F">
              <w:rPr>
                <w:lang w:bidi="ru-RU"/>
              </w:rPr>
              <w:lastRenderedPageBreak/>
              <w:t>Информационный обмен при осуществлении транспортного (автомобильного) контроля в рамках Евразийского экономического союза.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Контроль соблюдения разрешительной системы таможенными органами в пунктах пропуска через государственную границу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разрешительной системе. Виды разрешений. Разрешения ЕКМТ. Компетентные и уполномоченные органы на выдачу разрешений. Основные правила использования разрешений. Бланки разрешений. Действия должностных лиц таможенных органов по контролю соблюдения разрешительной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Контроль за международными автомобильными пассажирскими перевозками таможенными органами в пунктах пропуска через государственную границу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международных автомобильных перевозок пассажиров. Общие требования к осуществлению международных перевозок пассажиров автомобильным транспортом. Требования к автобусам, осуществляющим перевозки по территории стран, являющихся участниками соглашения. Перечень путевой документации на борту автобуса при осуществлении МПП. Требования к водителю. Действия должностных лиц таможенных органов по контролю за соблюдением требований к международным автомобильным перевозкам.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Контроль соблюдения режима труда и отдыха экипажей транспортных средств таможенными органами в пунктах пропуска через государственную границу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Конвенции ЕСТР. Требования к водителям. Продолжительность управления и отдых. Нормативные значения времени отдыха. Минимальные значения ежедневного, еженедельного отдыха. Виды тахографов. Виды карт, применяемых в цифровых тахографах. Действие разрешения при использовании карт. Действия должностных лиц таможенных органов: проверка наличия и исправности тахографов; проверка исправности и сохранности пломб на тахографе; проверка соблюдения режима труда и отдыха водителей; проверка скоростного режима по тахографу; проверка на мошенничество с тахографами.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Контроль соблюдения габаритных и весовых ограничений таможенными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органами в пунктах пропуска через государственную границу РФ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Габаритные ограничения. Весовые ограничения: ограничения по полной массе; ограничения по осевым нагрузкам. Определение нагрузок на ось. Разрешения на перевозку крупногабаритных и тяжеловесных грузов. Правила перевозки делимого груза. </w:t>
            </w:r>
            <w:r w:rsidRPr="00352B6F">
              <w:rPr>
                <w:lang w:bidi="ru-RU"/>
              </w:rPr>
              <w:lastRenderedPageBreak/>
              <w:t>Сопровождение транспортных средств, перевозящих негабаритные и(или) тяжеловесные грузы. Определение платы за пользование автомобильными дорогами при перевозке тяжеловесных грузов. Действия должностных лиц таможенных органов по контролю соблюдения габаритных и весовых ограничений.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Контроль за перевозкой опасных грузов таможенными органами в пунктах пропуска через государственную границу РФ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Европейское соглашение о международной перевозке опасных грузов (ДОПОГ). Классификация опасных грузов. Требования к маркировке опасных грузов. Требования к сопроводительным документам при перевозке опасных грузов. Сопровождение при перевозке опасных грузов. Действия должностных лиц таможенных органов по контролю за перевозками опасных грузов.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Документальный ветеринарный контроль таможенными органами в пунктах пропуска через государственную границу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Нормативно – правовые акты, регламентирующие проведение документального ветеринарного контроля в пунктах пропуска таможенными органами. Предмет государственного ветеринарного надзора. Права и обязанности должностных лиц при осуществлении государственного ветеринарного надзора. Права и обязанности лиц, в отношении которых осуществляются мероприятия по государственному ветеринарному надзору. Состав, последовательность и сроки выполнения операций по документальному ветеринарному контролю таможенными органами в пунктах пропуска. Представление предварительных уведомлений при ввозе подконтрольных товаров морским транспортом. Особенности совершения операций при ввозе подконтрольных товаров морским (речным) и воздушным транспортом, а также при поступлении подконтрольных товаров в почтовых отправлениях на международный почтамт. Государственный ветеринарный надзор в пунктах пропуска в отношении подконтрольных товаров, ввозимых физическими лицами для личного пользования. Контроль в пунктах пропуска при транзите подконтрольных товаров. Результаты ветеринарного контроля. Журнал учета результатов санитарно-карантинного контроля товаров, включенных в Единый перечень товаров, подлежащих санитарно-эпидемиологическому надзору (контролю) на таможенной границе и таможенной территории Таможенного союза. Ответственность должностных лиц ФТС России за решения и </w:t>
            </w:r>
            <w:r w:rsidRPr="00352B6F">
              <w:rPr>
                <w:lang w:bidi="ru-RU"/>
              </w:rPr>
              <w:lastRenderedPageBreak/>
              <w:t>действия (бездействие), принимаемые (осуществляемые) ими в ходе исполнения государственных функций. Действия должностных лиц таможенных органов при проведении документального ветеринарного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Документальный санитарно-карантинный контроль таможенными органами в пунктах пропуска через государственную границу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 – правовые акты, регламентирующие проведение документального санитарно – карантинного контроля в пунктах пропуска таможенными органами. Действия должностных лиц таможенных органов при проведении проверки документов, необходимых для осуществления санитарно-карантинного контроля. Журнал учета результатов санитарно-карантинного контроля подконтрольных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Документальный карантинный фитосанитарный контроль таможенными органами в пунктах пропуска через государственную границу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 – правовые акты, регламентирующие проведение документального карантинного фитосанитарного контроля в пунктах пропуска таможенными органами. Действия должностных лиц таможенных органов при проведении проверки документов, необходимых для осуществления карантинного фитосанитарного контроля. Особенности проведения санитарно-карантинного, карантинного фитосанитарного контроля и ветеринарного надзора в воздушных или морских (речных) пунктах пропуска.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Фактический ветеринарный, карантинный фитосанитарный и санитарно-карантинный контроль в отдельных пунктах пунктах пропуска через государственную границу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Эксперимент по передаче функций проведения фактического ветеринарного, карантинного фитосанитарного и санитарно-карантинного контроля в отдельных пунктах пропуска через государственную границу РФ должностным лицам таможенных органов.  Контрольные операции и действия должностных лиц таможенных органов при проведении фактического контроля подкарантинной продукции и живых животных. Оформление результатов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8"/>
        <w:gridCol w:w="3819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21FF7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Государственный контроль таможенными органами в пунктах пропуска: учебное пособие в схемах и таблицах / Ю.В.Малевич, И.А.Пластуняк ; М-во образования и науки Рос. Федерации, С.-Петерб. гос. экон. ун-т, Каф. тамож. дела. — Санкт-Петербург: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141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921FF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BD%D0%BD%D1%8B%D0%BC%D0%B8.pdf</w:t>
              </w:r>
            </w:hyperlink>
          </w:p>
        </w:tc>
      </w:tr>
      <w:tr w:rsidR="00262CF0" w:rsidRPr="00BC0F3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921F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1FF7">
              <w:rPr>
                <w:rFonts w:ascii="Times New Roman" w:hAnsi="Times New Roman" w:cs="Times New Roman"/>
                <w:sz w:val="24"/>
                <w:szCs w:val="24"/>
              </w:rPr>
              <w:t>Попова, Л. И.  Организация таможенного контроля товаров и транспортных средств : учебник для вузов / Л. И. Попова. — 4-е изд., перераб. и доп. — Москва : Издательство Юрайт, 2025.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141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921FF7">
                <w:rPr>
                  <w:color w:val="00008B"/>
                  <w:u w:val="single"/>
                  <w:lang w:val="en-US"/>
                </w:rPr>
                <w:t>https://urait.ru/viewer/organi ... sportnyh-sredstv-562037#page/1</w:t>
              </w:r>
            </w:hyperlink>
          </w:p>
        </w:tc>
      </w:tr>
    </w:tbl>
    <w:p w:rsidR="0091168E" w:rsidRPr="00921FF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B141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1FF7" w:rsidTr="008416EB">
        <w:tc>
          <w:tcPr>
            <w:tcW w:w="7797" w:type="dxa"/>
            <w:shd w:val="clear" w:color="auto" w:fill="auto"/>
          </w:tcPr>
          <w:p w:rsidR="002C735C" w:rsidRPr="00921F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1F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921F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1F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1FF7" w:rsidTr="008416EB">
        <w:tc>
          <w:tcPr>
            <w:tcW w:w="7797" w:type="dxa"/>
            <w:shd w:val="clear" w:color="auto" w:fill="auto"/>
          </w:tcPr>
          <w:p w:rsidR="002C735C" w:rsidRPr="00921F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F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921FF7">
              <w:rPr>
                <w:sz w:val="22"/>
                <w:szCs w:val="22"/>
                <w:lang w:val="en-US"/>
              </w:rPr>
              <w:t>Acer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Aspire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Z</w:t>
            </w:r>
            <w:r w:rsidRPr="00921FF7">
              <w:rPr>
                <w:sz w:val="22"/>
                <w:szCs w:val="22"/>
              </w:rPr>
              <w:t xml:space="preserve">1811 </w:t>
            </w:r>
            <w:r w:rsidRPr="00921FF7">
              <w:rPr>
                <w:sz w:val="22"/>
                <w:szCs w:val="22"/>
                <w:lang w:val="en-US"/>
              </w:rPr>
              <w:t>Intel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Core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i</w:t>
            </w:r>
            <w:r w:rsidRPr="00921FF7">
              <w:rPr>
                <w:sz w:val="22"/>
                <w:szCs w:val="22"/>
              </w:rPr>
              <w:t>5-2400</w:t>
            </w:r>
            <w:r w:rsidRPr="00921FF7">
              <w:rPr>
                <w:sz w:val="22"/>
                <w:szCs w:val="22"/>
                <w:lang w:val="en-US"/>
              </w:rPr>
              <w:t>S</w:t>
            </w:r>
            <w:r w:rsidRPr="00921FF7">
              <w:rPr>
                <w:sz w:val="22"/>
                <w:szCs w:val="22"/>
              </w:rPr>
              <w:t>@2.50</w:t>
            </w:r>
            <w:r w:rsidRPr="00921FF7">
              <w:rPr>
                <w:sz w:val="22"/>
                <w:szCs w:val="22"/>
                <w:lang w:val="en-US"/>
              </w:rPr>
              <w:t>GHz</w:t>
            </w:r>
            <w:r w:rsidRPr="00921FF7">
              <w:rPr>
                <w:sz w:val="22"/>
                <w:szCs w:val="22"/>
              </w:rPr>
              <w:t>/4</w:t>
            </w:r>
            <w:r w:rsidRPr="00921FF7">
              <w:rPr>
                <w:sz w:val="22"/>
                <w:szCs w:val="22"/>
                <w:lang w:val="en-US"/>
              </w:rPr>
              <w:t>Gb</w:t>
            </w:r>
            <w:r w:rsidRPr="00921FF7">
              <w:rPr>
                <w:sz w:val="22"/>
                <w:szCs w:val="22"/>
              </w:rPr>
              <w:t>/1</w:t>
            </w:r>
            <w:r w:rsidRPr="00921FF7">
              <w:rPr>
                <w:sz w:val="22"/>
                <w:szCs w:val="22"/>
                <w:lang w:val="en-US"/>
              </w:rPr>
              <w:t>Tb</w:t>
            </w:r>
            <w:r w:rsidRPr="00921FF7">
              <w:rPr>
                <w:sz w:val="22"/>
                <w:szCs w:val="22"/>
              </w:rPr>
              <w:t xml:space="preserve"> - 1 шт., Мультимедийный проектор </w:t>
            </w:r>
            <w:r w:rsidRPr="00921FF7">
              <w:rPr>
                <w:sz w:val="22"/>
                <w:szCs w:val="22"/>
                <w:lang w:val="en-US"/>
              </w:rPr>
              <w:t>Optoma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EX</w:t>
            </w:r>
            <w:r w:rsidRPr="00921FF7">
              <w:rPr>
                <w:sz w:val="22"/>
                <w:szCs w:val="22"/>
              </w:rPr>
              <w:t xml:space="preserve">-632 - 1 шт., Экран с электроприводом </w:t>
            </w:r>
            <w:r w:rsidRPr="00921FF7">
              <w:rPr>
                <w:sz w:val="22"/>
                <w:szCs w:val="22"/>
                <w:lang w:val="en-US"/>
              </w:rPr>
              <w:t>Draper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Baronet</w:t>
            </w:r>
            <w:r w:rsidRPr="00921FF7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921FF7">
              <w:rPr>
                <w:sz w:val="22"/>
                <w:szCs w:val="22"/>
                <w:lang w:val="en-US"/>
              </w:rPr>
              <w:t>Hi</w:t>
            </w:r>
            <w:r w:rsidRPr="00921FF7">
              <w:rPr>
                <w:sz w:val="22"/>
                <w:szCs w:val="22"/>
              </w:rPr>
              <w:t>-</w:t>
            </w:r>
            <w:r w:rsidRPr="00921FF7">
              <w:rPr>
                <w:sz w:val="22"/>
                <w:szCs w:val="22"/>
                <w:lang w:val="en-US"/>
              </w:rPr>
              <w:t>Fi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PRO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MASK</w:t>
            </w:r>
            <w:r w:rsidRPr="00921FF7">
              <w:rPr>
                <w:sz w:val="22"/>
                <w:szCs w:val="22"/>
              </w:rPr>
              <w:t>6</w:t>
            </w:r>
            <w:r w:rsidRPr="00921FF7">
              <w:rPr>
                <w:sz w:val="22"/>
                <w:szCs w:val="22"/>
                <w:lang w:val="en-US"/>
              </w:rPr>
              <w:t>T</w:t>
            </w:r>
            <w:r w:rsidRPr="00921FF7">
              <w:rPr>
                <w:sz w:val="22"/>
                <w:szCs w:val="22"/>
              </w:rPr>
              <w:t>-</w:t>
            </w:r>
            <w:r w:rsidRPr="00921FF7">
              <w:rPr>
                <w:sz w:val="22"/>
                <w:szCs w:val="22"/>
                <w:lang w:val="en-US"/>
              </w:rPr>
              <w:t>W</w:t>
            </w:r>
            <w:r w:rsidRPr="00921FF7">
              <w:rPr>
                <w:sz w:val="22"/>
                <w:szCs w:val="22"/>
              </w:rPr>
              <w:t xml:space="preserve"> - 2 шт., Микшер усилитель </w:t>
            </w:r>
            <w:r w:rsidRPr="00921FF7">
              <w:rPr>
                <w:sz w:val="22"/>
                <w:szCs w:val="22"/>
                <w:lang w:val="en-US"/>
              </w:rPr>
              <w:t>Jedia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TA</w:t>
            </w:r>
            <w:r w:rsidRPr="00921FF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921F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F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21F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21FF7" w:rsidTr="008416EB">
        <w:tc>
          <w:tcPr>
            <w:tcW w:w="7797" w:type="dxa"/>
            <w:shd w:val="clear" w:color="auto" w:fill="auto"/>
          </w:tcPr>
          <w:p w:rsidR="002C735C" w:rsidRPr="00921F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F7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</w:t>
            </w:r>
            <w:r w:rsidRPr="00921FF7">
              <w:rPr>
                <w:sz w:val="22"/>
                <w:szCs w:val="22"/>
              </w:rPr>
              <w:lastRenderedPageBreak/>
              <w:t xml:space="preserve">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921FF7">
              <w:rPr>
                <w:sz w:val="22"/>
                <w:szCs w:val="22"/>
                <w:lang w:val="en-US"/>
              </w:rPr>
              <w:t>Acer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Aspire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Z</w:t>
            </w:r>
            <w:r w:rsidRPr="00921FF7">
              <w:rPr>
                <w:sz w:val="22"/>
                <w:szCs w:val="22"/>
              </w:rPr>
              <w:t xml:space="preserve">1811 </w:t>
            </w:r>
            <w:r w:rsidRPr="00921FF7">
              <w:rPr>
                <w:sz w:val="22"/>
                <w:szCs w:val="22"/>
                <w:lang w:val="en-US"/>
              </w:rPr>
              <w:t>Intel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Core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i</w:t>
            </w:r>
            <w:r w:rsidRPr="00921FF7">
              <w:rPr>
                <w:sz w:val="22"/>
                <w:szCs w:val="22"/>
              </w:rPr>
              <w:t>5-2400</w:t>
            </w:r>
            <w:r w:rsidRPr="00921FF7">
              <w:rPr>
                <w:sz w:val="22"/>
                <w:szCs w:val="22"/>
                <w:lang w:val="en-US"/>
              </w:rPr>
              <w:t>S</w:t>
            </w:r>
            <w:r w:rsidRPr="00921FF7">
              <w:rPr>
                <w:sz w:val="22"/>
                <w:szCs w:val="22"/>
              </w:rPr>
              <w:t>@2.50</w:t>
            </w:r>
            <w:r w:rsidRPr="00921FF7">
              <w:rPr>
                <w:sz w:val="22"/>
                <w:szCs w:val="22"/>
                <w:lang w:val="en-US"/>
              </w:rPr>
              <w:t>GHz</w:t>
            </w:r>
            <w:r w:rsidRPr="00921FF7">
              <w:rPr>
                <w:sz w:val="22"/>
                <w:szCs w:val="22"/>
              </w:rPr>
              <w:t>/4</w:t>
            </w:r>
            <w:r w:rsidRPr="00921FF7">
              <w:rPr>
                <w:sz w:val="22"/>
                <w:szCs w:val="22"/>
                <w:lang w:val="en-US"/>
              </w:rPr>
              <w:t>Gb</w:t>
            </w:r>
            <w:r w:rsidRPr="00921FF7">
              <w:rPr>
                <w:sz w:val="22"/>
                <w:szCs w:val="22"/>
              </w:rPr>
              <w:t>/1</w:t>
            </w:r>
            <w:r w:rsidRPr="00921FF7">
              <w:rPr>
                <w:sz w:val="22"/>
                <w:szCs w:val="22"/>
                <w:lang w:val="en-US"/>
              </w:rPr>
              <w:t>Tb</w:t>
            </w:r>
            <w:r w:rsidRPr="00921FF7">
              <w:rPr>
                <w:sz w:val="22"/>
                <w:szCs w:val="22"/>
              </w:rPr>
              <w:t xml:space="preserve"> - 1 шт.,Мультимедийный проектор </w:t>
            </w:r>
            <w:r w:rsidRPr="00921FF7">
              <w:rPr>
                <w:sz w:val="22"/>
                <w:szCs w:val="22"/>
                <w:lang w:val="en-US"/>
              </w:rPr>
              <w:t>Optoma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x</w:t>
            </w:r>
            <w:r w:rsidRPr="00921FF7">
              <w:rPr>
                <w:sz w:val="22"/>
                <w:szCs w:val="22"/>
              </w:rPr>
              <w:t xml:space="preserve"> 400 - 1 шт., Экран с электро-приводом </w:t>
            </w:r>
            <w:r w:rsidRPr="00921FF7">
              <w:rPr>
                <w:sz w:val="22"/>
                <w:szCs w:val="22"/>
                <w:lang w:val="en-US"/>
              </w:rPr>
              <w:t>Draper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Baronet</w:t>
            </w:r>
            <w:r w:rsidRPr="00921FF7">
              <w:rPr>
                <w:sz w:val="22"/>
                <w:szCs w:val="22"/>
              </w:rPr>
              <w:t xml:space="preserve"> 153х200 см - 1 шт., Микшер усилитель </w:t>
            </w:r>
            <w:r w:rsidRPr="00921FF7">
              <w:rPr>
                <w:sz w:val="22"/>
                <w:szCs w:val="22"/>
                <w:lang w:val="en-US"/>
              </w:rPr>
              <w:t>Jedia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TA</w:t>
            </w:r>
            <w:r w:rsidRPr="00921FF7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21FF7">
              <w:rPr>
                <w:sz w:val="22"/>
                <w:szCs w:val="22"/>
                <w:lang w:val="en-US"/>
              </w:rPr>
              <w:t>Hi</w:t>
            </w:r>
            <w:r w:rsidRPr="00921FF7">
              <w:rPr>
                <w:sz w:val="22"/>
                <w:szCs w:val="22"/>
              </w:rPr>
              <w:t>-</w:t>
            </w:r>
            <w:r w:rsidRPr="00921FF7">
              <w:rPr>
                <w:sz w:val="22"/>
                <w:szCs w:val="22"/>
                <w:lang w:val="en-US"/>
              </w:rPr>
              <w:t>Fi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PRO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MASK</w:t>
            </w:r>
            <w:r w:rsidRPr="00921FF7">
              <w:rPr>
                <w:sz w:val="22"/>
                <w:szCs w:val="22"/>
              </w:rPr>
              <w:t>6</w:t>
            </w:r>
            <w:r w:rsidRPr="00921FF7">
              <w:rPr>
                <w:sz w:val="22"/>
                <w:szCs w:val="22"/>
                <w:lang w:val="en-US"/>
              </w:rPr>
              <w:t>T</w:t>
            </w:r>
            <w:r w:rsidRPr="00921FF7">
              <w:rPr>
                <w:sz w:val="22"/>
                <w:szCs w:val="22"/>
              </w:rPr>
              <w:t>-</w:t>
            </w:r>
            <w:r w:rsidRPr="00921FF7">
              <w:rPr>
                <w:sz w:val="22"/>
                <w:szCs w:val="22"/>
                <w:lang w:val="en-US"/>
              </w:rPr>
              <w:t>W</w:t>
            </w:r>
            <w:r w:rsidRPr="00921FF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921F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F7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921F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21FF7" w:rsidTr="008416EB">
        <w:tc>
          <w:tcPr>
            <w:tcW w:w="7797" w:type="dxa"/>
            <w:shd w:val="clear" w:color="auto" w:fill="auto"/>
          </w:tcPr>
          <w:p w:rsidR="002C735C" w:rsidRPr="00921F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F7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21FF7">
              <w:rPr>
                <w:sz w:val="22"/>
                <w:szCs w:val="22"/>
                <w:lang w:val="en-US"/>
              </w:rPr>
              <w:t>Intel</w:t>
            </w:r>
            <w:r w:rsidRPr="00921FF7">
              <w:rPr>
                <w:sz w:val="22"/>
                <w:szCs w:val="22"/>
              </w:rPr>
              <w:t xml:space="preserve">  </w:t>
            </w:r>
            <w:r w:rsidRPr="00921FF7">
              <w:rPr>
                <w:sz w:val="22"/>
                <w:szCs w:val="22"/>
                <w:lang w:val="en-US"/>
              </w:rPr>
              <w:t>I</w:t>
            </w:r>
            <w:r w:rsidRPr="00921FF7">
              <w:rPr>
                <w:sz w:val="22"/>
                <w:szCs w:val="22"/>
              </w:rPr>
              <w:t>5-7400/8+8/1</w:t>
            </w:r>
            <w:r w:rsidRPr="00921FF7">
              <w:rPr>
                <w:sz w:val="22"/>
                <w:szCs w:val="22"/>
                <w:lang w:val="en-US"/>
              </w:rPr>
              <w:t>Tb</w:t>
            </w:r>
            <w:r w:rsidRPr="00921FF7">
              <w:rPr>
                <w:sz w:val="22"/>
                <w:szCs w:val="22"/>
              </w:rPr>
              <w:t>/</w:t>
            </w:r>
            <w:r w:rsidRPr="00921FF7">
              <w:rPr>
                <w:sz w:val="22"/>
                <w:szCs w:val="22"/>
                <w:lang w:val="en-US"/>
              </w:rPr>
              <w:t>GT</w:t>
            </w:r>
            <w:r w:rsidRPr="00921FF7">
              <w:rPr>
                <w:sz w:val="22"/>
                <w:szCs w:val="22"/>
              </w:rPr>
              <w:t>710-2</w:t>
            </w:r>
            <w:r w:rsidRPr="00921FF7">
              <w:rPr>
                <w:sz w:val="22"/>
                <w:szCs w:val="22"/>
                <w:lang w:val="en-US"/>
              </w:rPr>
              <w:t>Gb</w:t>
            </w:r>
            <w:r w:rsidRPr="00921FF7">
              <w:rPr>
                <w:sz w:val="22"/>
                <w:szCs w:val="22"/>
              </w:rPr>
              <w:t>/</w:t>
            </w:r>
            <w:r w:rsidRPr="00921FF7">
              <w:rPr>
                <w:sz w:val="22"/>
                <w:szCs w:val="22"/>
                <w:lang w:val="en-US"/>
              </w:rPr>
              <w:t>DELL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S</w:t>
            </w:r>
            <w:r w:rsidRPr="00921FF7">
              <w:rPr>
                <w:sz w:val="22"/>
                <w:szCs w:val="22"/>
              </w:rPr>
              <w:t>2218</w:t>
            </w:r>
            <w:r w:rsidRPr="00921FF7">
              <w:rPr>
                <w:sz w:val="22"/>
                <w:szCs w:val="22"/>
                <w:lang w:val="en-US"/>
              </w:rPr>
              <w:t>H</w:t>
            </w:r>
            <w:r w:rsidRPr="00921FF7">
              <w:rPr>
                <w:sz w:val="22"/>
                <w:szCs w:val="22"/>
              </w:rPr>
              <w:t xml:space="preserve"> - 21 шт., Ноутбук </w:t>
            </w:r>
            <w:r w:rsidRPr="00921FF7">
              <w:rPr>
                <w:sz w:val="22"/>
                <w:szCs w:val="22"/>
                <w:lang w:val="en-US"/>
              </w:rPr>
              <w:t>HP</w:t>
            </w:r>
            <w:r w:rsidRPr="00921FF7">
              <w:rPr>
                <w:sz w:val="22"/>
                <w:szCs w:val="22"/>
              </w:rPr>
              <w:t xml:space="preserve"> 250 </w:t>
            </w:r>
            <w:r w:rsidRPr="00921FF7">
              <w:rPr>
                <w:sz w:val="22"/>
                <w:szCs w:val="22"/>
                <w:lang w:val="en-US"/>
              </w:rPr>
              <w:t>G</w:t>
            </w:r>
            <w:r w:rsidRPr="00921FF7">
              <w:rPr>
                <w:sz w:val="22"/>
                <w:szCs w:val="22"/>
              </w:rPr>
              <w:t>6 1</w:t>
            </w:r>
            <w:r w:rsidRPr="00921FF7">
              <w:rPr>
                <w:sz w:val="22"/>
                <w:szCs w:val="22"/>
                <w:lang w:val="en-US"/>
              </w:rPr>
              <w:t>WY</w:t>
            </w:r>
            <w:r w:rsidRPr="00921FF7">
              <w:rPr>
                <w:sz w:val="22"/>
                <w:szCs w:val="22"/>
              </w:rPr>
              <w:t>58</w:t>
            </w:r>
            <w:r w:rsidRPr="00921FF7">
              <w:rPr>
                <w:sz w:val="22"/>
                <w:szCs w:val="22"/>
                <w:lang w:val="en-US"/>
              </w:rPr>
              <w:t>EA</w:t>
            </w:r>
            <w:r w:rsidRPr="00921FF7">
              <w:rPr>
                <w:sz w:val="22"/>
                <w:szCs w:val="22"/>
              </w:rPr>
              <w:t xml:space="preserve"> - 4 шт. Мультимедийный проектор </w:t>
            </w:r>
            <w:r w:rsidRPr="00921FF7">
              <w:rPr>
                <w:sz w:val="22"/>
                <w:szCs w:val="22"/>
                <w:lang w:val="en-US"/>
              </w:rPr>
              <w:t>Panasonic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PT</w:t>
            </w:r>
            <w:r w:rsidRPr="00921FF7">
              <w:rPr>
                <w:sz w:val="22"/>
                <w:szCs w:val="22"/>
              </w:rPr>
              <w:t>-</w:t>
            </w:r>
            <w:r w:rsidRPr="00921FF7">
              <w:rPr>
                <w:sz w:val="22"/>
                <w:szCs w:val="22"/>
                <w:lang w:val="en-US"/>
              </w:rPr>
              <w:t>VX</w:t>
            </w:r>
            <w:r w:rsidRPr="00921FF7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21FF7">
              <w:rPr>
                <w:sz w:val="22"/>
                <w:szCs w:val="22"/>
                <w:lang w:val="en-US"/>
              </w:rPr>
              <w:t>Apart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Concept</w:t>
            </w:r>
            <w:r w:rsidRPr="00921FF7">
              <w:rPr>
                <w:sz w:val="22"/>
                <w:szCs w:val="22"/>
              </w:rPr>
              <w:t xml:space="preserve">+ микрофон </w:t>
            </w:r>
            <w:r w:rsidRPr="00921FF7">
              <w:rPr>
                <w:sz w:val="22"/>
                <w:szCs w:val="22"/>
                <w:lang w:val="en-US"/>
              </w:rPr>
              <w:t>BEHRINGER</w:t>
            </w:r>
            <w:r w:rsidRPr="00921FF7">
              <w:rPr>
                <w:sz w:val="22"/>
                <w:szCs w:val="22"/>
              </w:rPr>
              <w:t xml:space="preserve">) - 1 шт., Акустическая система </w:t>
            </w:r>
            <w:r w:rsidRPr="00921FF7">
              <w:rPr>
                <w:sz w:val="22"/>
                <w:szCs w:val="22"/>
                <w:lang w:val="en-US"/>
              </w:rPr>
              <w:t>Hi</w:t>
            </w:r>
            <w:r w:rsidRPr="00921FF7">
              <w:rPr>
                <w:sz w:val="22"/>
                <w:szCs w:val="22"/>
              </w:rPr>
              <w:t>-</w:t>
            </w:r>
            <w:r w:rsidRPr="00921FF7">
              <w:rPr>
                <w:sz w:val="22"/>
                <w:szCs w:val="22"/>
                <w:lang w:val="en-US"/>
              </w:rPr>
              <w:t>Fi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PRO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MASK</w:t>
            </w:r>
            <w:r w:rsidRPr="00921FF7">
              <w:rPr>
                <w:sz w:val="22"/>
                <w:szCs w:val="22"/>
              </w:rPr>
              <w:t>6</w:t>
            </w:r>
            <w:r w:rsidRPr="00921FF7">
              <w:rPr>
                <w:sz w:val="22"/>
                <w:szCs w:val="22"/>
                <w:lang w:val="en-US"/>
              </w:rPr>
              <w:t>T</w:t>
            </w:r>
            <w:r w:rsidRPr="00921FF7">
              <w:rPr>
                <w:sz w:val="22"/>
                <w:szCs w:val="22"/>
              </w:rPr>
              <w:t>-</w:t>
            </w:r>
            <w:r w:rsidRPr="00921FF7">
              <w:rPr>
                <w:sz w:val="22"/>
                <w:szCs w:val="22"/>
                <w:lang w:val="en-US"/>
              </w:rPr>
              <w:t>W</w:t>
            </w:r>
            <w:r w:rsidRPr="00921FF7">
              <w:rPr>
                <w:sz w:val="22"/>
                <w:szCs w:val="22"/>
              </w:rPr>
              <w:t xml:space="preserve"> - 2 шт., Экран </w:t>
            </w:r>
            <w:r w:rsidRPr="00921FF7">
              <w:rPr>
                <w:sz w:val="22"/>
                <w:szCs w:val="22"/>
                <w:lang w:val="en-US"/>
              </w:rPr>
              <w:t>Compact</w:t>
            </w:r>
            <w:r w:rsidRPr="00921FF7">
              <w:rPr>
                <w:sz w:val="22"/>
                <w:szCs w:val="22"/>
              </w:rPr>
              <w:t xml:space="preserve"> </w:t>
            </w:r>
            <w:r w:rsidRPr="00921FF7">
              <w:rPr>
                <w:sz w:val="22"/>
                <w:szCs w:val="22"/>
                <w:lang w:val="en-US"/>
              </w:rPr>
              <w:t>Electrol</w:t>
            </w:r>
            <w:r w:rsidRPr="00921FF7">
              <w:rPr>
                <w:sz w:val="22"/>
                <w:szCs w:val="22"/>
              </w:rPr>
              <w:t xml:space="preserve"> : размер экрана 153</w:t>
            </w:r>
            <w:r w:rsidRPr="00921FF7">
              <w:rPr>
                <w:sz w:val="22"/>
                <w:szCs w:val="22"/>
                <w:lang w:val="en-US"/>
              </w:rPr>
              <w:t>x</w:t>
            </w:r>
            <w:r w:rsidRPr="00921FF7">
              <w:rPr>
                <w:sz w:val="22"/>
                <w:szCs w:val="22"/>
              </w:rPr>
              <w:t xml:space="preserve">200 </w:t>
            </w:r>
            <w:r w:rsidRPr="00921FF7">
              <w:rPr>
                <w:sz w:val="22"/>
                <w:szCs w:val="22"/>
                <w:lang w:val="en-US"/>
              </w:rPr>
              <w:t>c</w:t>
            </w:r>
            <w:r w:rsidRPr="00921FF7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921F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F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21FF7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4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7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Состав операций пограничного контроля. Взаимодействие пограничной службы ФСБ России с ФТС России при проведении контроля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Полномочия-таможенных-органов-в-отношении-проведения государственного контроля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Общие-положения-организации-транспортного-контроля-в-пунктах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Состав операций транспортного контроля в пунктах пропуска в отношении грузовых транспортных средств и автобусов.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Действия должностных лиц таможенных органов при проведении документального транспортного контроля грузовых транспортных средств, зарегистрированных в Российской Федерации, в многосторонних автомобильных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Действия должностных лиц таможенных органов при проведении документального транспортного контроля грузовых транспортных средств, зарегистрированных на территории иностранных государств (за исключением таможенной территории ЕАЭС), в многосторонних автомобильных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 допуска российских перевозчиков к международным автомобильным перевозкам. Положения, касающиеся удостоверения о допуске к международным автомобильным перевозкам (МАП).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Документальный транспортный контроль таможенными органами в пунктах пропуска при перевозке пассажиров в международном автомобильном сообщении.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 соблюдения требований при международных автомобильных перевозках пассажиров.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 весовых параметров транспортных средств при выполнении международных перевозок грузов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Порядок определения осевых нагрузок (для целей контроля) для автопоезда в составе седельного тягача с полуприцепом.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Контроль соблюдения габаритных параметров.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 крепления груза в кузове транспортного средства.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 соблюдения основных требований по безопасности транспортных средств.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 xml:space="preserve">Контроль документов, которые должны находиться на борту грузовых транспортных средств категорий, «Евро </w:t>
            </w:r>
            <w:r>
              <w:rPr>
                <w:sz w:val="23"/>
                <w:szCs w:val="23"/>
                <w:lang w:val="en-US"/>
              </w:rPr>
              <w:t>IV</w:t>
            </w:r>
            <w:r w:rsidRPr="00921FF7">
              <w:rPr>
                <w:sz w:val="23"/>
                <w:szCs w:val="23"/>
              </w:rPr>
              <w:t xml:space="preserve"> безопасный», «Евро </w:t>
            </w:r>
            <w:r>
              <w:rPr>
                <w:sz w:val="23"/>
                <w:szCs w:val="23"/>
                <w:lang w:val="en-US"/>
              </w:rPr>
              <w:t>V</w:t>
            </w:r>
            <w:r w:rsidRPr="00921FF7">
              <w:rPr>
                <w:sz w:val="23"/>
                <w:szCs w:val="23"/>
              </w:rPr>
              <w:t xml:space="preserve"> безопасный» и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Структура международной товарно - транспортной накладной (</w:t>
            </w:r>
            <w:r>
              <w:rPr>
                <w:sz w:val="23"/>
                <w:szCs w:val="23"/>
                <w:lang w:val="en-US"/>
              </w:rPr>
              <w:t>CMR</w:t>
            </w:r>
            <w:r w:rsidRPr="00921FF7">
              <w:rPr>
                <w:sz w:val="23"/>
                <w:szCs w:val="23"/>
              </w:rPr>
              <w:t>), ее назначение для целей проведения транспортного контроля в пунктах пропуска таможенными органами.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Общие положения Конвенции о дорожном движении (КДД). Основные требования к транспортным средствам и водителям при выполнении МАП. Контроль соблюдения требований КДД должностными лицами таможенных органов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Оформление результатов транспортного контроля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1FF7">
              <w:rPr>
                <w:sz w:val="23"/>
                <w:szCs w:val="23"/>
              </w:rPr>
              <w:t xml:space="preserve">Функциональная структура комплекса «СКАТ-ТК». </w:t>
            </w:r>
            <w:r>
              <w:rPr>
                <w:sz w:val="23"/>
                <w:szCs w:val="23"/>
                <w:lang w:val="en-US"/>
              </w:rPr>
              <w:t>Возможности программы СКАТ – ТК.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Взаимодействие таможенных органов и Ространснадзора посредством комплекса «СКАТ-ТК.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1FF7">
              <w:rPr>
                <w:sz w:val="23"/>
                <w:szCs w:val="23"/>
              </w:rPr>
              <w:t xml:space="preserve">Допуск транспортного средства к перевозке опасных грузов. </w:t>
            </w:r>
            <w:r>
              <w:rPr>
                <w:sz w:val="23"/>
                <w:szCs w:val="23"/>
                <w:lang w:val="en-US"/>
              </w:rPr>
              <w:t>Контроль свидетельства о допуске.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Классификация опасных грузов. Определения транспортных средств, для которых необходимы допущения для целей контроля.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 соблюдения особых требований при перевозке грузов повышенной опасности.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1FF7">
              <w:rPr>
                <w:sz w:val="23"/>
                <w:szCs w:val="23"/>
              </w:rPr>
              <w:t xml:space="preserve">Контроль сопроводительных документов при перевозке опасных грузов. </w:t>
            </w:r>
            <w:r>
              <w:rPr>
                <w:sz w:val="23"/>
                <w:szCs w:val="23"/>
                <w:lang w:val="en-US"/>
              </w:rPr>
              <w:t xml:space="preserve">Аварийная </w:t>
            </w:r>
            <w:r>
              <w:rPr>
                <w:sz w:val="23"/>
                <w:szCs w:val="23"/>
                <w:lang w:val="en-US"/>
              </w:rPr>
              <w:lastRenderedPageBreak/>
              <w:t>карточка опасного груза.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25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Требования Европейского Соглашения, касающегося работы экипажей транспортных средств, производящих международные автомобильные перевозки (ЕСТР). Контроль соблюдения требования ЕСТР должностными лицами таможенных органов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Тахографы. Действия должностных лиц таможенных органов при контроле соблюдения ЕСТР.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Общие положения о разрешительной системе. основные понятия и определения. Контроль соблюдения разрешительной системы должностными лицами таможенных органов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Виды разрешений и правила их использования.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 двусторонних и многосторонних разрешений на перевозку грузов.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Контроль разрешений ЕКМТ.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 разрешения на перевозку крупногабаритных и тяжеловесных грузов. Уполномоченные на выдачу разрешения органы, форма разрешения и сведения, вносимые в разрешения.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 соблюдения требований при перевозке негабаритных грузов. Организация сопровождения тяжеловесных и крупногабаритных грузов: порядок и условия. Установление маршрута перевозки.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Перечень документов, необходимых для осуществления документального карантинного фитосанитарного контроля должностными лицами таможенных органов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1FF7">
              <w:rPr>
                <w:sz w:val="23"/>
                <w:szCs w:val="23"/>
              </w:rPr>
              <w:t xml:space="preserve">Юридические основания для начала административной процедуры государственного ветеринарного надзора. Права должностных лиц таможенных органов при проведении документального ветеринарного контроля. </w:t>
            </w:r>
            <w:r>
              <w:rPr>
                <w:sz w:val="23"/>
                <w:szCs w:val="23"/>
                <w:lang w:val="en-US"/>
              </w:rPr>
              <w:t>Сроки проведения государственного ветеринарного надзора.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Контрольные действия по документальному ветеринарному контролю таможенными органами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Действия должностных лиц таможенных органов в рамках административной процедуры «Государственный ветеринарный надзор при ввозе подконтрольных товаров в пунктах пропуска».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Административная процедура «Ветеринарный надзор водных биоресурсов и продуктов их переработки отечественного происхождения при ввозе».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Действия должностных лиц таможенных органов в рамках административной процедуры Государственный ветеринарный надзор при транзите подконтрольных товаров».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Административная процедура «Государственный ветеринарный надзор в пунктах пропуска в отношении подконтрольных товаров, ввозимых физическими лицами для личного пользования».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Административная процедура «Государственный ветеринарный надзор в отношении ввезенных подконтрольных товаров в местах совершения таможенных операций».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Принятие решения в пунктах пропуска должностным лицом таможенного органа по результатам документарного ветеринарного контроля.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Состав операций фактического ветеринарного контроля должностными лицами таможенных органов в отдельных пунктах пропуска через государственную границу Российской Федерации в отношении живых животных.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Состав операций (действий) санитарно-карантинного контроля в пунктах пропуска. Риски возникновения чрезвычайной ситуации в области санитарно- эпидемиологического благополучия населения.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1FF7">
              <w:rPr>
                <w:sz w:val="23"/>
                <w:szCs w:val="23"/>
              </w:rPr>
              <w:t xml:space="preserve">Действия должностных лиц таможенных органов при поведении документального санитарно-карантинного контроля в пунктах пропуска. </w:t>
            </w:r>
            <w:r>
              <w:rPr>
                <w:sz w:val="23"/>
                <w:szCs w:val="23"/>
                <w:lang w:val="en-US"/>
              </w:rPr>
              <w:t>Сроки проведения.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Оформление результатов документального санитарно - карантинного контроля должностным лицом таможенного органа.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46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Выявление должностными лицами таможенных органов продукции высоко фитосанитарного риска.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1FF7">
              <w:rPr>
                <w:sz w:val="23"/>
                <w:szCs w:val="23"/>
              </w:rPr>
              <w:t xml:space="preserve">Подтверждение документов на ввоз подконтрольных товаров на единую таможенную территорию </w:t>
            </w:r>
            <w:r>
              <w:rPr>
                <w:sz w:val="23"/>
                <w:szCs w:val="23"/>
                <w:lang w:val="en-US"/>
              </w:rPr>
              <w:t>ЕАЭС.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1FF7">
              <w:rPr>
                <w:sz w:val="23"/>
                <w:szCs w:val="23"/>
              </w:rPr>
              <w:t xml:space="preserve">Действия должностных лиц таможенных органов в отношении подконтрольных товаров, прибывших морским или воздушным транспортом на единую таможенную территорию </w:t>
            </w:r>
            <w:r>
              <w:rPr>
                <w:sz w:val="23"/>
                <w:szCs w:val="23"/>
                <w:lang w:val="en-US"/>
              </w:rPr>
              <w:t>ЕАЭС, не имеющих подтверждения наличия требуемых документов.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Основания для направления на досмотр Федеральной службой по ветеринарному и фитосанитарному надзору (ФСВиФН) и действия должностных лиц таможенных органов.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:rsidR="009E6058" w:rsidRPr="00921F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Действия должностных лиц таможенных органов в случае отсутствия подкарантинной продукции, подлежащей досмотру.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0602300000.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2808000000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7010100000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1508101000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7016904001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3602000000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0812100000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2201101900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2202100000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1602421000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1604110000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0602203000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 xml:space="preserve">Проведение государственного контроля в пункте пропуска (транспортного, ветеринарного, санитарно-карантинного, карантинного фитосанитарного) в </w:t>
            </w:r>
            <w:r w:rsidRPr="00921FF7">
              <w:rPr>
                <w:sz w:val="23"/>
                <w:szCs w:val="23"/>
              </w:rPr>
              <w:lastRenderedPageBreak/>
              <w:t>отношении товаров с кодом ТНВЭД 2811210000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14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4401220000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4401110009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7009920000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6909110000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0704901001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0104201000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1513111000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1601009100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2309103900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2309107000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0102213000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0306140500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 0402101900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1041010000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4202210000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2914710000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2910300000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 xml:space="preserve">Проведение государственного контроля в пункте пропуска (транспортного, ветеринарного, санитарно-карантинного, карантинного фитосанитарного) в </w:t>
            </w:r>
            <w:r w:rsidRPr="00921FF7">
              <w:rPr>
                <w:sz w:val="23"/>
                <w:szCs w:val="23"/>
              </w:rPr>
              <w:lastRenderedPageBreak/>
              <w:t>отношении товаров с кодом ТНВЭД 2909430000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2008977800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2007109110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2003102000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1061410900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0906200000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0812100000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0712310000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0709700000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:rsidR="00AD3A54" w:rsidRPr="00921F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Проведение государственного контроля в пункте пропуска (транспортного, ветеринарного, санитарно-карантинного, карантинного фитосанитарного) в отношении товаров с кодом ТНВЭД 0704901001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921FF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921FF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:rsidR="005D65A5" w:rsidRPr="00921F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1FF7" w:rsidTr="00801458">
        <w:tc>
          <w:tcPr>
            <w:tcW w:w="2336" w:type="dxa"/>
          </w:tcPr>
          <w:p w:rsidR="005D65A5" w:rsidRPr="00921F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921F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921F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921F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1FF7" w:rsidTr="00801458">
        <w:tc>
          <w:tcPr>
            <w:tcW w:w="2336" w:type="dxa"/>
          </w:tcPr>
          <w:p w:rsidR="005D65A5" w:rsidRPr="00921F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921FF7" w:rsidRDefault="007478E0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:rsidR="005D65A5" w:rsidRPr="00921FF7" w:rsidRDefault="007478E0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921FF7" w:rsidRDefault="007478E0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2,4,7</w:t>
            </w:r>
          </w:p>
        </w:tc>
      </w:tr>
      <w:tr w:rsidR="005D65A5" w:rsidRPr="00921FF7" w:rsidTr="00801458">
        <w:tc>
          <w:tcPr>
            <w:tcW w:w="2336" w:type="dxa"/>
          </w:tcPr>
          <w:p w:rsidR="005D65A5" w:rsidRPr="00921F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921FF7" w:rsidRDefault="007478E0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:rsidR="005D65A5" w:rsidRPr="00921FF7" w:rsidRDefault="007478E0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921FF7" w:rsidRDefault="007478E0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2,6</w:t>
            </w:r>
          </w:p>
        </w:tc>
      </w:tr>
      <w:tr w:rsidR="005D65A5" w:rsidRPr="00921FF7" w:rsidTr="00801458">
        <w:tc>
          <w:tcPr>
            <w:tcW w:w="2336" w:type="dxa"/>
          </w:tcPr>
          <w:p w:rsidR="005D65A5" w:rsidRPr="00921F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921FF7" w:rsidRDefault="007478E0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921FF7" w:rsidRDefault="007478E0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921FF7" w:rsidRDefault="007478E0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:rsidR="00F56264" w:rsidRPr="00921F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921F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83656886"/>
      <w:r w:rsidRPr="00921F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:rsidR="00C23E7F" w:rsidRPr="00921FF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1FF7" w:rsidRPr="00921FF7" w:rsidTr="00FA2EB2">
        <w:tc>
          <w:tcPr>
            <w:tcW w:w="562" w:type="dxa"/>
          </w:tcPr>
          <w:p w:rsidR="00921FF7" w:rsidRPr="00921FF7" w:rsidRDefault="00921FF7" w:rsidP="00FA2E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921FF7" w:rsidRPr="00921FF7" w:rsidRDefault="00921FF7" w:rsidP="00FA2E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1FF7" w:rsidRDefault="00921F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1FF7" w:rsidRDefault="00921F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1FF7" w:rsidRPr="00921FF7" w:rsidRDefault="00921F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921F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83656887"/>
      <w:r w:rsidRPr="00921FF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1.5 Самостоятельная работа обучающегося</w:t>
      </w:r>
      <w:bookmarkEnd w:id="24"/>
      <w:bookmarkEnd w:id="25"/>
    </w:p>
    <w:p w:rsidR="00B8237E" w:rsidRPr="00921F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1FF7" w:rsidTr="00801458">
        <w:tc>
          <w:tcPr>
            <w:tcW w:w="2500" w:type="pct"/>
          </w:tcPr>
          <w:p w:rsidR="00B8237E" w:rsidRPr="00921F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921F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1FF7" w:rsidTr="00801458">
        <w:tc>
          <w:tcPr>
            <w:tcW w:w="2500" w:type="pct"/>
          </w:tcPr>
          <w:p w:rsidR="00B8237E" w:rsidRPr="00921F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:rsidR="00B8237E" w:rsidRPr="00921FF7" w:rsidRDefault="005C548A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921FF7" w:rsidTr="00801458">
        <w:tc>
          <w:tcPr>
            <w:tcW w:w="2500" w:type="pct"/>
          </w:tcPr>
          <w:p w:rsidR="00B8237E" w:rsidRPr="00921F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:rsidR="00B8237E" w:rsidRPr="00921FF7" w:rsidRDefault="005C548A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921FF7" w:rsidTr="00801458">
        <w:tc>
          <w:tcPr>
            <w:tcW w:w="2500" w:type="pct"/>
          </w:tcPr>
          <w:p w:rsidR="00B8237E" w:rsidRPr="00921F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:rsidR="00B8237E" w:rsidRPr="00921FF7" w:rsidRDefault="005C548A" w:rsidP="00801458">
            <w:pPr>
              <w:rPr>
                <w:rFonts w:ascii="Times New Roman" w:hAnsi="Times New Roman" w:cs="Times New Roman"/>
              </w:rPr>
            </w:pPr>
            <w:r w:rsidRPr="00921FF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BC0F35" w:rsidRPr="00142518" w:rsidRDefault="00BC0F35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_GoBack"/>
      <w:bookmarkEnd w:id="29"/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114" w:rsidRDefault="00B14114" w:rsidP="00315CA6">
      <w:pPr>
        <w:spacing w:after="0" w:line="240" w:lineRule="auto"/>
      </w:pPr>
      <w:r>
        <w:separator/>
      </w:r>
    </w:p>
  </w:endnote>
  <w:endnote w:type="continuationSeparator" w:id="0">
    <w:p w:rsidR="00B14114" w:rsidRDefault="00B141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E408DF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BC0F35">
          <w:rPr>
            <w:noProof/>
          </w:rPr>
          <w:t>18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114" w:rsidRDefault="00B14114" w:rsidP="00315CA6">
      <w:pPr>
        <w:spacing w:after="0" w:line="240" w:lineRule="auto"/>
      </w:pPr>
      <w:r>
        <w:separator/>
      </w:r>
    </w:p>
  </w:footnote>
  <w:footnote w:type="continuationSeparator" w:id="0">
    <w:p w:rsidR="00B14114" w:rsidRDefault="00B141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0938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5F75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1FF7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114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0F35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D54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08DF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740E7"/>
  <w15:docId w15:val="{2AECD3A4-4FA4-4996-AA5C-F72B3C9B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8D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viewer/organizaciya-tamozhennogo-kontrolya-tovarov-i-transportnyh-sredstv-562037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93%D0%BE%D1%81%D1%83%D0%B4%D0%B0%D1%80%D1%81%D1%82%D0%B2%D0%B5%D0%BD%D0%BD%D1%8B%D0%B9%20%D0%BA%D0%BE%D0%BD%D1%82%D1%80%D0%BE%D0%BB%D1%8C%20%D1%82%D0%B0%D0%BC%D0%BE%D0%B6%D0%B5%D0%BD%D0%BD%D1%8B%D0%BC%D0%B8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099191-63B9-4502-A3DD-1F093752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6163</Words>
  <Characters>35131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